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7BC801BE" w:rsidR="00290CE4" w:rsidRPr="0091731A" w:rsidRDefault="00C0453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Smokefree</w:t>
      </w:r>
      <w:r w:rsidR="00C25651">
        <w:rPr>
          <w:b/>
          <w:color w:val="2F5496"/>
          <w:sz w:val="28"/>
        </w:rPr>
        <w:t xml:space="preserve"> Island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0DBC9BB2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C0453F">
        <w:t>Smokefree</w:t>
      </w:r>
      <w:r w:rsidR="00C25651">
        <w:t xml:space="preserve"> Island</w:t>
      </w:r>
      <w:r w:rsidR="00C0453F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7D763E00" w:rsidR="0090443E" w:rsidRDefault="00C256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825B5" wp14:editId="4369C714">
          <wp:simplePos x="0" y="0"/>
          <wp:positionH relativeFrom="column">
            <wp:posOffset>4093845</wp:posOffset>
          </wp:positionH>
          <wp:positionV relativeFrom="paragraph">
            <wp:posOffset>111125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53F">
      <w:rPr>
        <w:noProof/>
      </w:rPr>
      <w:drawing>
        <wp:anchor distT="0" distB="0" distL="114300" distR="114300" simplePos="0" relativeHeight="251656192" behindDoc="0" locked="0" layoutInCell="1" allowOverlap="1" wp14:anchorId="6C99B737" wp14:editId="2C6AC985">
          <wp:simplePos x="0" y="0"/>
          <wp:positionH relativeFrom="column">
            <wp:posOffset>5135880</wp:posOffset>
          </wp:positionH>
          <wp:positionV relativeFrom="paragraph">
            <wp:posOffset>-7620</wp:posOffset>
          </wp:positionV>
          <wp:extent cx="541020" cy="297932"/>
          <wp:effectExtent l="0" t="0" r="0" b="6985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5BA19985">
          <wp:simplePos x="0" y="0"/>
          <wp:positionH relativeFrom="column">
            <wp:posOffset>3383280</wp:posOffset>
          </wp:positionH>
          <wp:positionV relativeFrom="paragraph">
            <wp:posOffset>-182880</wp:posOffset>
          </wp:positionV>
          <wp:extent cx="2323670" cy="1273246"/>
          <wp:effectExtent l="0" t="0" r="635" b="3175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670" cy="1273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3909E0"/>
    <w:rsid w:val="006644C2"/>
    <w:rsid w:val="006707DF"/>
    <w:rsid w:val="0090443E"/>
    <w:rsid w:val="0091731A"/>
    <w:rsid w:val="00933CED"/>
    <w:rsid w:val="00A0244B"/>
    <w:rsid w:val="00A55561"/>
    <w:rsid w:val="00AF387C"/>
    <w:rsid w:val="00C0453F"/>
    <w:rsid w:val="00C25651"/>
    <w:rsid w:val="00C4672F"/>
    <w:rsid w:val="00DE0359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1161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2025-02-17T16:36:00Z</dcterms:created>
  <dcterms:modified xsi:type="dcterms:W3CDTF">2025-02-17T16:36:00Z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